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Nghị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34/2022/NĐ-CP</w:t>
      </w:r>
    </w:p>
    <w:p w:rsidR="00631C66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</w:pP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ngày 28 tháng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5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năm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2022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phủ)</w:t>
      </w:r>
    </w:p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HÒA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XÃ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HỘI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CHỦ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NGHĨA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VIỆT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NAM</w:t>
      </w:r>
    </w:p>
    <w:p w:rsidR="00631C66" w:rsidRPr="008654A7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Độc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lập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Hạnh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phúc</w:t>
      </w:r>
    </w:p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______________________</w:t>
      </w:r>
    </w:p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bookmark5"/>
      <w:bookmarkStart w:id="1" w:name="bookmark4"/>
      <w:bookmarkEnd w:id="0"/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GIẤY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ĐỀ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NGHI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VÀ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TI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Ề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Ấ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</w:t>
      </w:r>
      <w:bookmarkEnd w:id="1"/>
    </w:p>
    <w:p w:rsidR="00631C66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Lần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thế</w:t>
      </w:r>
    </w:p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31C66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gửi: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thuế.............................</w:t>
      </w:r>
    </w:p>
    <w:p w:rsidR="00631C66" w:rsidRPr="00016545" w:rsidRDefault="00631C66" w:rsidP="00631C6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631C66" w:rsidRPr="008654A7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[01] Tên người nộp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thuế:.................................................................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[02]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654A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228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[03]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ỉ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:................................................................................................................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[04]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thoại:.........................................................................................</w:t>
      </w:r>
    </w:p>
    <w:p w:rsidR="00631C66" w:rsidRPr="008654A7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[05]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(nếu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có):.......................................................................................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654A7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241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[07]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hạn: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a)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tăng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tổ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tăng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hộ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d)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(kê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chỉ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tượng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đất)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định/Hợp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số....,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ngày.../.../....:.....</w:t>
      </w:r>
    </w:p>
    <w:p w:rsidR="00631C66" w:rsidRPr="008654A7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định/Hợp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số....,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ngày.../.../....:.....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631C66" w:rsidRPr="00016545" w:rsidRDefault="00631C66" w:rsidP="00631C66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[08]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br w:type="textWrapping" w:clear="all"/>
      </w:r>
    </w:p>
    <w:p w:rsidR="00631C66" w:rsidRPr="00016545" w:rsidRDefault="00631C66" w:rsidP="00631C66">
      <w:pPr>
        <w:spacing w:after="0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</w:rPr>
        <w:t>I.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NHỎ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SIÊU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NHỎ</w:t>
      </w:r>
    </w:p>
    <w:p w:rsidR="00631C66" w:rsidRPr="00016545" w:rsidRDefault="00631C66" w:rsidP="00631C66">
      <w:pPr>
        <w:spacing w:after="0" w:line="240" w:lineRule="auto"/>
        <w:ind w:firstLine="600"/>
        <w:rPr>
          <w:rFonts w:ascii="Arial" w:eastAsia="Times New Roman" w:hAnsi="Arial" w:cs="Arial"/>
          <w:color w:val="000000"/>
          <w:sz w:val="20"/>
          <w:szCs w:val="20"/>
        </w:rPr>
      </w:pPr>
      <w:bookmarkStart w:id="2" w:name="bookmark7"/>
      <w:bookmarkEnd w:id="2"/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nhỏ:</w:t>
      </w:r>
    </w:p>
    <w:p w:rsidR="00631C66" w:rsidRPr="00016545" w:rsidRDefault="00631C66" w:rsidP="00631C66">
      <w:pPr>
        <w:spacing w:after="0" w:line="240" w:lineRule="auto"/>
        <w:ind w:left="114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840"/>
        <w:gridCol w:w="2419"/>
        <w:gridCol w:w="2426"/>
      </w:tblGrid>
      <w:tr w:rsidR="00631C66" w:rsidRPr="00016545" w:rsidTr="00495265">
        <w:trPr>
          <w:trHeight w:val="475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Lĩnh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vực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hoạt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lao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Doanh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thu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Nguồn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vốn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</w:tr>
      <w:tr w:rsidR="00631C66" w:rsidRPr="00016545" w:rsidTr="00495265">
        <w:trPr>
          <w:trHeight w:val="472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631C66" w:rsidRDefault="00631C66" w:rsidP="00631C6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siêu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nhỏ:</w:t>
      </w:r>
    </w:p>
    <w:p w:rsidR="00631C66" w:rsidRPr="00016545" w:rsidRDefault="00631C66" w:rsidP="00631C66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1840"/>
        <w:gridCol w:w="2419"/>
        <w:gridCol w:w="2426"/>
      </w:tblGrid>
      <w:tr w:rsidR="00631C66" w:rsidRPr="00016545" w:rsidTr="00495265">
        <w:trPr>
          <w:trHeight w:val="475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Lĩnh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vực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hoạt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lao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động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Doanh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thu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631C66" w:rsidRPr="00016545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Nguồn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vốn</w:t>
            </w:r>
            <w:r w:rsidRPr="00865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 xml:space="preserve"> </w:t>
            </w:r>
            <w:r w:rsidRPr="0001654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(VNĐ)</w:t>
            </w:r>
          </w:p>
        </w:tc>
      </w:tr>
      <w:tr w:rsidR="00631C66" w:rsidRPr="00016545" w:rsidTr="00495265">
        <w:trPr>
          <w:trHeight w:val="472"/>
          <w:jc w:val="center"/>
        </w:trPr>
        <w:tc>
          <w:tcPr>
            <w:tcW w:w="24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2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31C66" w:rsidRPr="00016545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54A7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</w:tr>
    </w:tbl>
    <w:p w:rsidR="00631C66" w:rsidRPr="00016545" w:rsidRDefault="00631C66" w:rsidP="00631C6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</w:p>
    <w:p w:rsidR="00631C66" w:rsidRPr="00016545" w:rsidRDefault="00631C66" w:rsidP="00631C66">
      <w:pPr>
        <w:spacing w:after="0" w:line="240" w:lineRule="auto"/>
        <w:ind w:firstLine="6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3" w:name="bookmark9"/>
      <w:bookmarkStart w:id="4" w:name="bookmark8"/>
      <w:bookmarkEnd w:id="3"/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II.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>Ổ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CHỨC,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>Ộ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DOANH,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NHÂN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TRONG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LĨNH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</w:t>
      </w:r>
      <w:r w:rsidRPr="008654A7">
        <w:rPr>
          <w:rFonts w:ascii="Arial" w:eastAsia="Times New Roman" w:hAnsi="Arial" w:cs="Arial"/>
          <w:b/>
          <w:bCs/>
          <w:color w:val="000000"/>
          <w:sz w:val="20"/>
          <w:szCs w:val="20"/>
        </w:rPr>
        <w:t>Ự</w:t>
      </w:r>
      <w:r w:rsidRPr="0001654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C:</w:t>
      </w:r>
      <w:bookmarkEnd w:id="4"/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thủy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lastRenderedPageBreak/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biến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thực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Dệt;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trang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phục;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biến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gỗ,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tre,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nứa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(trừ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giường,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tủ,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bàn,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ghế);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rơm,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rạ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liệu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bện;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cao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Plastic;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khoáng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loại;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11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tử,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học;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xe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có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giường,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tủ,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bàn,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ghế;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Xây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dựng;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Vận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tải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bãi;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trú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ăn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uống;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Giáo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đào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tạo;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giúp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hội;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lao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làm;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lịch,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tua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quảng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tua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lịch;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tác,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nghệ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trí;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thư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văn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thể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thao,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vui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giải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trí;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chiếu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phim;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triển;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trọng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điểm;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nhánh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ngoài;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ảnh,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chương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âm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nhạc;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truyền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hình;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33.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trình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vấn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đến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35.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(không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đối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nhập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condensate,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nhiên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hợp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đồng);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36.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động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khoáng;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37.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đồ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uống;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38.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In,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sao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chép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39.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cốc,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dầu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mỏ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chế;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40.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hóa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chất;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41.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phẩm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kim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loại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đúc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sẵn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(trừ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móc,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bị);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42.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xuất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mô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xe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43.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Sửa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chữa,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bảo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dưỡng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lắp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đặt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máy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móc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bị;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44.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Thoát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thải.</w:t>
      </w:r>
    </w:p>
    <w:p w:rsidR="00631C66" w:rsidRPr="008654A7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cam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đoan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dung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trên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đúng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chịu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trách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nhiệm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về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những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khai;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ôi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cam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đầy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</w:t>
      </w:r>
      <w:r>
        <w:rPr>
          <w:rFonts w:ascii="Arial" w:eastAsia="Times New Roman" w:hAnsi="Arial" w:cs="Arial"/>
          <w:color w:val="000000"/>
          <w:sz w:val="20"/>
          <w:szCs w:val="20"/>
        </w:rPr>
        <w:t>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9"/>
        <w:gridCol w:w="5031"/>
      </w:tblGrid>
      <w:tr w:rsidR="00631C66" w:rsidRPr="00CF743F" w:rsidTr="00495265">
        <w:tc>
          <w:tcPr>
            <w:tcW w:w="4428" w:type="dxa"/>
            <w:shd w:val="clear" w:color="auto" w:fill="auto"/>
          </w:tcPr>
          <w:p w:rsidR="00631C66" w:rsidRPr="00CF743F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NHÂN VIÊN ĐẠI LÝ THUẾ</w:t>
            </w:r>
          </w:p>
          <w:p w:rsidR="00631C66" w:rsidRPr="00CF743F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 và tên: ………….</w:t>
            </w:r>
          </w:p>
          <w:p w:rsidR="00631C66" w:rsidRPr="00CF743F" w:rsidRDefault="00631C66" w:rsidP="004952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 chỉ hành nghề số: …….</w:t>
            </w:r>
          </w:p>
          <w:p w:rsidR="00631C66" w:rsidRPr="00CF743F" w:rsidRDefault="00631C66" w:rsidP="004952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31C66" w:rsidRPr="00CF743F" w:rsidRDefault="00631C66" w:rsidP="004952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8" w:type="dxa"/>
            <w:shd w:val="clear" w:color="auto" w:fill="auto"/>
          </w:tcPr>
          <w:p w:rsidR="00631C66" w:rsidRPr="00CF743F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..... , ngày................ tháng...... năm..</w:t>
            </w:r>
          </w:p>
          <w:p w:rsidR="00631C66" w:rsidRPr="00CF743F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NGƯỜI NỘP THUẾ hoặc ĐẠI DIỆN HỢP PHÁP CỦA NGƯỜI NỘP THUẾ</w:t>
            </w:r>
          </w:p>
          <w:p w:rsidR="00631C66" w:rsidRPr="00CF743F" w:rsidRDefault="00631C66" w:rsidP="004952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F743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(Chữ ký, ghi rõ họ tên; chức vụ và đóng dấu (nếu có)/Ký điện tử)</w:t>
            </w:r>
          </w:p>
        </w:tc>
      </w:tr>
    </w:tbl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lastRenderedPageBreak/>
        <w:t>Gh</w:t>
      </w:r>
      <w:r w:rsidRPr="008654A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</w:t>
      </w:r>
      <w:r w:rsidRPr="008654A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vi-VN"/>
        </w:rPr>
        <w:t>chú: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</w:rPr>
        <w:t>I: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NNT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vừa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2017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80/201/NĐ-CP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26/8/2021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một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điều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Luật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Hỗ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trợ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nghiệp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nhỏ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vừa.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II: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NNT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27/2018/QĐ-TTg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06/7/2018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tướng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111/2015/NĐ-CP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03/11/2015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phủ;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Quyết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319/QĐ-TTg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15/3/2018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Thủ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tướng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phủ.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Tổ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dụng,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nhánh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ngoài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tự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xác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danh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ngân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hàng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nhà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nước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Việt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Nam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bố.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-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nghị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chỉ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01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lần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quản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lý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trực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toàn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bộ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số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thuế,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tiền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thuê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đất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phát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sinh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trong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các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kỳ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tính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được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gia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hạn.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lựa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chọn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như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sau: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+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theo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thức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gửi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tới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cổng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thông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</w:t>
      </w:r>
      <w:r w:rsidRPr="008654A7">
        <w:rPr>
          <w:rFonts w:ascii="Arial" w:eastAsia="Times New Roman" w:hAnsi="Arial" w:cs="Arial"/>
          <w:color w:val="000000"/>
          <w:sz w:val="20"/>
          <w:szCs w:val="20"/>
        </w:rPr>
        <w:t>ử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của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thuế.</w:t>
      </w:r>
    </w:p>
    <w:p w:rsidR="00631C66" w:rsidRPr="00016545" w:rsidRDefault="00631C66" w:rsidP="00631C66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+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trực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tiếp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tới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cơ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quan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thuế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nộp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qua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dịch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vụ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bưu</w:t>
      </w:r>
      <w:r w:rsidRPr="008654A7">
        <w:rPr>
          <w:rFonts w:ascii="Arial" w:eastAsia="Times New Roman" w:hAnsi="Arial" w:cs="Arial"/>
          <w:color w:val="000000"/>
          <w:sz w:val="20"/>
          <w:szCs w:val="20"/>
          <w:lang w:val="vi-VN"/>
        </w:rPr>
        <w:t xml:space="preserve"> </w:t>
      </w:r>
      <w:r w:rsidRPr="00016545">
        <w:rPr>
          <w:rFonts w:ascii="Arial" w:eastAsia="Times New Roman" w:hAnsi="Arial" w:cs="Arial"/>
          <w:color w:val="000000"/>
          <w:sz w:val="20"/>
          <w:szCs w:val="20"/>
          <w:lang w:val="vi-VN"/>
        </w:rPr>
        <w:t>chính.</w:t>
      </w:r>
    </w:p>
    <w:p w:rsidR="00631C66" w:rsidRPr="008654A7" w:rsidRDefault="00631C66" w:rsidP="00631C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045D" w:rsidRDefault="0061045D">
      <w:bookmarkStart w:id="5" w:name="_GoBack"/>
      <w:bookmarkEnd w:id="5"/>
    </w:p>
    <w:sectPr w:rsidR="00610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66"/>
    <w:rsid w:val="0061045D"/>
    <w:rsid w:val="0063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EBCC7-2C3D-4871-9F48-CEE83F46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30">
    <w:name w:val="bodytext3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20">
    <w:name w:val="heading2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31C6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50">
    <w:name w:val="bodytext5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0">
    <w:name w:val="bodytext2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aption0">
    <w:name w:val="tablecaption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heading10">
    <w:name w:val="heading1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other0">
    <w:name w:val="other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60">
    <w:name w:val="bodytext6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40">
    <w:name w:val="bodytext40"/>
    <w:basedOn w:val="Normal"/>
    <w:rsid w:val="00631C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31C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rsid w:val="00631C66"/>
    <w:rPr>
      <w:rFonts w:ascii="Times New Roman" w:hAnsi="Times New Roman" w:cs="Times New Roman"/>
      <w:sz w:val="26"/>
      <w:szCs w:val="26"/>
      <w:u w:val="none"/>
    </w:rPr>
  </w:style>
  <w:style w:type="character" w:customStyle="1" w:styleId="Heading1">
    <w:name w:val="Heading #1_"/>
    <w:link w:val="Heading11"/>
    <w:uiPriority w:val="99"/>
    <w:rsid w:val="00631C6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"/>
    <w:uiPriority w:val="99"/>
    <w:rsid w:val="00631C66"/>
    <w:pPr>
      <w:widowControl w:val="0"/>
      <w:shd w:val="clear" w:color="auto" w:fill="FFFFFF"/>
      <w:spacing w:after="220" w:line="240" w:lineRule="auto"/>
      <w:ind w:firstLine="290"/>
      <w:outlineLvl w:val="0"/>
    </w:pPr>
    <w:rPr>
      <w:rFonts w:ascii="Times New Roman" w:eastAsiaTheme="minorHAnsi" w:hAnsi="Times New Roman" w:cstheme="minorBidi"/>
      <w:b/>
      <w:bCs/>
      <w:sz w:val="28"/>
      <w:szCs w:val="28"/>
    </w:rPr>
  </w:style>
  <w:style w:type="character" w:customStyle="1" w:styleId="Bodytext2">
    <w:name w:val="Body text (2)_"/>
    <w:link w:val="Bodytext21"/>
    <w:uiPriority w:val="99"/>
    <w:rsid w:val="00631C66"/>
    <w:rPr>
      <w:rFonts w:ascii="Times New Roman" w:hAnsi="Times New Roman"/>
      <w:shd w:val="clear" w:color="auto" w:fill="FFFFFF"/>
    </w:rPr>
  </w:style>
  <w:style w:type="character" w:customStyle="1" w:styleId="Picturecaption">
    <w:name w:val="Picture caption_"/>
    <w:link w:val="Picturecaption0"/>
    <w:uiPriority w:val="99"/>
    <w:rsid w:val="00631C66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Bodytext21">
    <w:name w:val="Body text (2)"/>
    <w:basedOn w:val="Normal"/>
    <w:link w:val="Bodytext2"/>
    <w:uiPriority w:val="99"/>
    <w:rsid w:val="00631C66"/>
    <w:pPr>
      <w:widowControl w:val="0"/>
      <w:shd w:val="clear" w:color="auto" w:fill="FFFFFF"/>
      <w:spacing w:after="0" w:line="240" w:lineRule="auto"/>
    </w:pPr>
    <w:rPr>
      <w:rFonts w:ascii="Times New Roman" w:eastAsiaTheme="minorHAnsi" w:hAnsi="Times New Roman" w:cstheme="minorBidi"/>
    </w:rPr>
  </w:style>
  <w:style w:type="paragraph" w:customStyle="1" w:styleId="Picturecaption0">
    <w:name w:val="Picture caption"/>
    <w:basedOn w:val="Normal"/>
    <w:link w:val="Picturecaption"/>
    <w:uiPriority w:val="99"/>
    <w:rsid w:val="00631C66"/>
    <w:pPr>
      <w:widowControl w:val="0"/>
      <w:shd w:val="clear" w:color="auto" w:fill="FFFFFF"/>
      <w:spacing w:after="0" w:line="240" w:lineRule="auto"/>
      <w:jc w:val="right"/>
    </w:pPr>
    <w:rPr>
      <w:rFonts w:ascii="Times New Roman" w:eastAsiaTheme="minorHAnsi" w:hAnsi="Times New Roman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1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C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31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C6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2022-05-30T10:38:00Z</dcterms:created>
  <dcterms:modified xsi:type="dcterms:W3CDTF">2022-05-30T10:39:00Z</dcterms:modified>
</cp:coreProperties>
</file>